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859" w:rsidRDefault="00590859"/>
    <w:p w:rsidR="00B87D2A" w:rsidRDefault="00B87D2A" w:rsidP="00B87D2A">
      <w:pPr>
        <w:jc w:val="center"/>
        <w:rPr>
          <w:rFonts w:ascii="Sassoon Infant Rg" w:hAnsi="Sassoon Infant Rg"/>
          <w:color w:val="000000" w:themeColor="text1"/>
          <w:sz w:val="20"/>
          <w:szCs w:val="20"/>
        </w:rPr>
      </w:pPr>
      <w:r w:rsidRPr="00F735BB">
        <w:rPr>
          <w:rFonts w:ascii="Sassoon Infant Rg" w:hAnsi="Sassoon Infant Rg"/>
          <w:color w:val="000000" w:themeColor="text1"/>
          <w:sz w:val="20"/>
          <w:szCs w:val="20"/>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rsidR="00F735BB" w:rsidRDefault="00F735BB" w:rsidP="00B87D2A">
      <w:pPr>
        <w:jc w:val="center"/>
        <w:rPr>
          <w:rFonts w:ascii="Sassoon Infant Rg" w:hAnsi="Sassoon Infant Rg"/>
          <w:color w:val="000000" w:themeColor="text1"/>
          <w:sz w:val="20"/>
          <w:szCs w:val="20"/>
        </w:rPr>
      </w:pPr>
    </w:p>
    <w:p w:rsidR="00F735BB" w:rsidRPr="00F735BB" w:rsidRDefault="00F735BB" w:rsidP="00B87D2A">
      <w:pPr>
        <w:jc w:val="center"/>
        <w:rPr>
          <w:rFonts w:ascii="Sassoon Infant Rg" w:hAnsi="Sassoon Infant Rg"/>
          <w:color w:val="000000" w:themeColor="text1"/>
          <w:sz w:val="20"/>
          <w:szCs w:val="20"/>
        </w:rPr>
      </w:pPr>
      <w:r>
        <w:rPr>
          <w:noProof/>
          <w:lang w:eastAsia="en-GB"/>
        </w:rPr>
        <w:drawing>
          <wp:inline distT="0" distB="0" distL="0" distR="0" wp14:anchorId="6A72313E" wp14:editId="327D6775">
            <wp:extent cx="5162550" cy="3796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70330" cy="3802182"/>
                    </a:xfrm>
                    <a:prstGeom prst="rect">
                      <a:avLst/>
                    </a:prstGeom>
                  </pic:spPr>
                </pic:pic>
              </a:graphicData>
            </a:graphic>
          </wp:inline>
        </w:drawing>
      </w:r>
    </w:p>
    <w:tbl>
      <w:tblPr>
        <w:tblStyle w:val="TableGrid"/>
        <w:tblW w:w="15339" w:type="dxa"/>
        <w:tblInd w:w="-714" w:type="dxa"/>
        <w:tblLook w:val="04A0" w:firstRow="1" w:lastRow="0" w:firstColumn="1" w:lastColumn="0" w:noHBand="0" w:noVBand="1"/>
      </w:tblPr>
      <w:tblGrid>
        <w:gridCol w:w="5589"/>
        <w:gridCol w:w="4618"/>
        <w:gridCol w:w="5132"/>
      </w:tblGrid>
      <w:tr w:rsidR="00D452E4" w:rsidTr="006F7BA1">
        <w:trPr>
          <w:trHeight w:val="387"/>
        </w:trPr>
        <w:tc>
          <w:tcPr>
            <w:tcW w:w="15339" w:type="dxa"/>
            <w:gridSpan w:val="3"/>
            <w:tcBorders>
              <w:bottom w:val="single" w:sz="4" w:space="0" w:color="auto"/>
            </w:tcBorders>
            <w:shd w:val="clear" w:color="auto" w:fill="00B0F0"/>
          </w:tcPr>
          <w:p w:rsidR="00D452E4" w:rsidRPr="00F735BB" w:rsidRDefault="00D452E4" w:rsidP="00BE788A">
            <w:pPr>
              <w:jc w:val="center"/>
            </w:pPr>
            <w:r w:rsidRPr="00F735BB">
              <w:lastRenderedPageBreak/>
              <w:t xml:space="preserve">Communication and Language – Listening and Attention </w:t>
            </w:r>
          </w:p>
        </w:tc>
      </w:tr>
      <w:tr w:rsidR="00D452E4" w:rsidTr="006F7BA1">
        <w:trPr>
          <w:trHeight w:val="366"/>
        </w:trPr>
        <w:tc>
          <w:tcPr>
            <w:tcW w:w="5589" w:type="dxa"/>
            <w:shd w:val="clear" w:color="auto" w:fill="D9D9D9" w:themeFill="background1" w:themeFillShade="D9"/>
          </w:tcPr>
          <w:p w:rsidR="00D452E4" w:rsidRPr="006F7BA1" w:rsidRDefault="00D452E4" w:rsidP="00BE788A">
            <w:pPr>
              <w:pStyle w:val="Default"/>
              <w:rPr>
                <w:rFonts w:ascii="Calibri" w:hAnsi="Calibri" w:cs="Calibri"/>
                <w:b/>
                <w:bCs/>
                <w:color w:val="000000" w:themeColor="text1"/>
                <w:sz w:val="16"/>
                <w:szCs w:val="16"/>
              </w:rPr>
            </w:pPr>
            <w:r w:rsidRPr="006F7BA1">
              <w:rPr>
                <w:rFonts w:ascii="Calibri" w:hAnsi="Calibri" w:cs="Calibri"/>
                <w:b/>
                <w:bCs/>
                <w:color w:val="000000" w:themeColor="text1"/>
                <w:sz w:val="16"/>
                <w:szCs w:val="16"/>
              </w:rPr>
              <w:t>Three- Four Years</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Enjoy listening to longer stories and can remember much of what happens. C&amp;L.3-4(a)</w:t>
            </w:r>
          </w:p>
          <w:p w:rsidR="00D452E4" w:rsidRPr="006F7BA1" w:rsidRDefault="00D452E4" w:rsidP="00BE788A">
            <w:pPr>
              <w:pStyle w:val="Default"/>
              <w:rPr>
                <w:rFonts w:ascii="Calibri" w:hAnsi="Calibri" w:cs="Calibri"/>
                <w:color w:val="000000" w:themeColor="text1"/>
                <w:sz w:val="16"/>
                <w:szCs w:val="16"/>
              </w:rPr>
            </w:pPr>
            <w:r w:rsidRPr="006F7BA1">
              <w:rPr>
                <w:rStyle w:val="A1"/>
                <w:rFonts w:ascii="Calibri" w:hAnsi="Calibri" w:cs="Calibri"/>
                <w:color w:val="000000" w:themeColor="text1"/>
                <w:sz w:val="16"/>
                <w:szCs w:val="16"/>
              </w:rPr>
              <w:t xml:space="preserve">• </w:t>
            </w:r>
            <w:r w:rsidRPr="006F7BA1">
              <w:rPr>
                <w:rFonts w:ascii="Calibri" w:hAnsi="Calibri" w:cs="Calibri"/>
                <w:color w:val="000000" w:themeColor="text1"/>
                <w:sz w:val="16"/>
                <w:szCs w:val="16"/>
              </w:rPr>
              <w:t>Can find it difficult to pay attention to more than one thing at a time. C&amp;L.3-4(b)</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Use a wider range of vocabulary. C&amp;L.3-4(c)</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Understand a question or instruction that has two parts, such as “Get your coat and wait at the door.” C&amp;L.3-4(d)</w:t>
            </w:r>
          </w:p>
          <w:p w:rsidR="00D452E4" w:rsidRPr="006F7BA1" w:rsidRDefault="00D452E4" w:rsidP="00BE788A">
            <w:pPr>
              <w:rPr>
                <w:rFonts w:ascii="Calibri" w:hAnsi="Calibri" w:cs="Calibri"/>
                <w:color w:val="000000" w:themeColor="text1"/>
                <w:sz w:val="16"/>
                <w:szCs w:val="16"/>
              </w:rPr>
            </w:pPr>
            <w:r w:rsidRPr="006F7BA1">
              <w:rPr>
                <w:rFonts w:ascii="Calibri" w:hAnsi="Calibri" w:cs="Calibri"/>
                <w:color w:val="000000" w:themeColor="text1"/>
                <w:sz w:val="16"/>
                <w:szCs w:val="16"/>
              </w:rPr>
              <w:t xml:space="preserve">. Understand ‘why’ questions, like </w:t>
            </w:r>
            <w:proofErr w:type="gramStart"/>
            <w:r w:rsidRPr="006F7BA1">
              <w:rPr>
                <w:rFonts w:ascii="Calibri" w:hAnsi="Calibri" w:cs="Calibri"/>
                <w:color w:val="000000" w:themeColor="text1"/>
                <w:sz w:val="16"/>
                <w:szCs w:val="16"/>
              </w:rPr>
              <w:t>“ Why</w:t>
            </w:r>
            <w:proofErr w:type="gramEnd"/>
            <w:r w:rsidRPr="006F7BA1">
              <w:rPr>
                <w:rFonts w:ascii="Calibri" w:hAnsi="Calibri" w:cs="Calibri"/>
                <w:color w:val="000000" w:themeColor="text1"/>
                <w:sz w:val="16"/>
                <w:szCs w:val="16"/>
              </w:rPr>
              <w:t xml:space="preserve"> do you think the caterpillar got so fat?” C&amp;L.3-4(e)</w:t>
            </w:r>
          </w:p>
        </w:tc>
        <w:tc>
          <w:tcPr>
            <w:tcW w:w="4618" w:type="dxa"/>
            <w:shd w:val="clear" w:color="auto" w:fill="D9D9D9" w:themeFill="background1" w:themeFillShade="D9"/>
          </w:tcPr>
          <w:p w:rsidR="00D452E4" w:rsidRPr="006F7BA1" w:rsidRDefault="00D452E4" w:rsidP="00BE788A">
            <w:pPr>
              <w:pStyle w:val="Default"/>
              <w:rPr>
                <w:rFonts w:ascii="Calibri" w:hAnsi="Calibri" w:cs="Calibri"/>
                <w:b/>
                <w:bCs/>
                <w:color w:val="000000" w:themeColor="text1"/>
                <w:sz w:val="16"/>
                <w:szCs w:val="16"/>
              </w:rPr>
            </w:pPr>
            <w:r w:rsidRPr="006F7BA1">
              <w:rPr>
                <w:rFonts w:ascii="Calibri" w:hAnsi="Calibri" w:cs="Calibri"/>
                <w:b/>
                <w:bCs/>
                <w:color w:val="000000" w:themeColor="text1"/>
                <w:sz w:val="16"/>
                <w:szCs w:val="16"/>
              </w:rPr>
              <w:t>Reception</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Understand how to listen carefully and why listening is important. C&amp;L.REC(a)</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Learn new vocabulary. C&amp;L.REC(b)</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Use new vocabulary through the day. C&amp;L.REC(c)</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Listen to and talk about stories to build familiarity and understanding. C&amp;L.REC(k)</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Listen carefully to rhymes and songs, paying attention to how they sound. C&amp;L.REC(n)</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Learn rhymes, poems and songs. C&amp;L.REC(o)</w:t>
            </w:r>
          </w:p>
          <w:p w:rsidR="00D452E4" w:rsidRPr="006F7BA1" w:rsidRDefault="00D452E4" w:rsidP="00BE788A">
            <w:pPr>
              <w:pStyle w:val="Default"/>
              <w:rPr>
                <w:rFonts w:ascii="Calibri" w:hAnsi="Calibri" w:cs="Calibri"/>
                <w:color w:val="000000" w:themeColor="text1"/>
                <w:sz w:val="16"/>
                <w:szCs w:val="16"/>
              </w:rPr>
            </w:pPr>
            <w:r w:rsidRPr="006F7BA1">
              <w:rPr>
                <w:rFonts w:ascii="Calibri" w:hAnsi="Calibri" w:cs="Calibri"/>
                <w:color w:val="000000" w:themeColor="text1"/>
                <w:sz w:val="16"/>
                <w:szCs w:val="16"/>
              </w:rPr>
              <w:t>. Engage in non-fiction books. C&amp;L.REC(p)</w:t>
            </w:r>
          </w:p>
          <w:p w:rsidR="00D452E4" w:rsidRPr="006F7BA1" w:rsidRDefault="00D452E4" w:rsidP="00BE788A">
            <w:pPr>
              <w:rPr>
                <w:rFonts w:ascii="Calibri" w:hAnsi="Calibri" w:cs="Calibri"/>
                <w:color w:val="000000" w:themeColor="text1"/>
                <w:sz w:val="16"/>
                <w:szCs w:val="16"/>
              </w:rPr>
            </w:pPr>
            <w:r w:rsidRPr="006F7BA1">
              <w:rPr>
                <w:rFonts w:ascii="Calibri" w:hAnsi="Calibri" w:cs="Calibri"/>
                <w:color w:val="000000" w:themeColor="text1"/>
                <w:sz w:val="16"/>
                <w:szCs w:val="16"/>
              </w:rPr>
              <w:t>. Listen to and talk about selected non-fiction to develop a deep familiarity with new knowledge and vocabulary. C&amp;L.REC(q)</w:t>
            </w:r>
          </w:p>
        </w:tc>
        <w:tc>
          <w:tcPr>
            <w:tcW w:w="5132" w:type="dxa"/>
            <w:shd w:val="clear" w:color="auto" w:fill="D9D9D9" w:themeFill="background1" w:themeFillShade="D9"/>
          </w:tcPr>
          <w:p w:rsidR="00D452E4" w:rsidRPr="006F7BA1" w:rsidRDefault="00D452E4" w:rsidP="00BE788A">
            <w:pPr>
              <w:pStyle w:val="Default"/>
              <w:rPr>
                <w:rFonts w:ascii="Calibri" w:hAnsi="Calibri" w:cs="Calibri"/>
                <w:bCs/>
                <w:color w:val="000000" w:themeColor="text1"/>
                <w:sz w:val="16"/>
                <w:szCs w:val="16"/>
              </w:rPr>
            </w:pPr>
            <w:r w:rsidRPr="006F7BA1">
              <w:rPr>
                <w:rFonts w:ascii="Calibri" w:hAnsi="Calibri" w:cs="Calibri"/>
                <w:bCs/>
                <w:color w:val="000000" w:themeColor="text1"/>
                <w:sz w:val="16"/>
                <w:szCs w:val="16"/>
              </w:rPr>
              <w:t xml:space="preserve">ELG </w:t>
            </w:r>
          </w:p>
          <w:p w:rsidR="00D452E4" w:rsidRPr="006F7BA1" w:rsidRDefault="00D452E4" w:rsidP="00BE788A">
            <w:pPr>
              <w:pStyle w:val="Default"/>
              <w:rPr>
                <w:rFonts w:ascii="Calibri" w:hAnsi="Calibri" w:cs="Calibri"/>
                <w:bCs/>
                <w:color w:val="000000" w:themeColor="text1"/>
                <w:sz w:val="16"/>
                <w:szCs w:val="16"/>
              </w:rPr>
            </w:pPr>
            <w:r w:rsidRPr="006F7BA1">
              <w:rPr>
                <w:rFonts w:ascii="Calibri" w:hAnsi="Calibri" w:cs="Calibri"/>
                <w:color w:val="000000" w:themeColor="text1"/>
                <w:sz w:val="16"/>
                <w:szCs w:val="16"/>
              </w:rPr>
              <w:t>.</w:t>
            </w:r>
            <w:r w:rsidRPr="006F7BA1">
              <w:rPr>
                <w:rFonts w:ascii="Calibri" w:hAnsi="Calibri" w:cs="Calibri"/>
                <w:bCs/>
                <w:color w:val="000000" w:themeColor="text1"/>
                <w:sz w:val="16"/>
                <w:szCs w:val="16"/>
              </w:rPr>
              <w:t>Listen attentively and respond to what they hear with relevant questions, comments and actions when being read to and during whole class discussions and small group interactions. C&amp;L.LAU.ELG</w:t>
            </w:r>
          </w:p>
          <w:p w:rsidR="00D452E4" w:rsidRPr="006F7BA1" w:rsidRDefault="00D452E4" w:rsidP="00BE788A">
            <w:pPr>
              <w:pStyle w:val="Default"/>
              <w:rPr>
                <w:rFonts w:ascii="Calibri" w:hAnsi="Calibri" w:cs="Calibri"/>
                <w:bCs/>
                <w:color w:val="000000" w:themeColor="text1"/>
                <w:sz w:val="16"/>
                <w:szCs w:val="16"/>
              </w:rPr>
            </w:pPr>
          </w:p>
          <w:p w:rsidR="00D452E4" w:rsidRPr="006F7BA1" w:rsidRDefault="00D452E4" w:rsidP="00BE788A">
            <w:pPr>
              <w:pStyle w:val="Default"/>
              <w:rPr>
                <w:rFonts w:ascii="Calibri" w:hAnsi="Calibri" w:cs="Calibri"/>
                <w:bCs/>
                <w:color w:val="000000" w:themeColor="text1"/>
                <w:sz w:val="16"/>
                <w:szCs w:val="16"/>
              </w:rPr>
            </w:pPr>
            <w:r w:rsidRPr="006F7BA1">
              <w:rPr>
                <w:rStyle w:val="A3"/>
                <w:rFonts w:ascii="Calibri" w:hAnsi="Calibri" w:cs="Calibri"/>
                <w:bCs/>
                <w:color w:val="000000" w:themeColor="text1"/>
                <w:sz w:val="16"/>
                <w:szCs w:val="16"/>
              </w:rPr>
              <w:t xml:space="preserve">• </w:t>
            </w:r>
            <w:r w:rsidRPr="006F7BA1">
              <w:rPr>
                <w:rFonts w:ascii="Calibri" w:hAnsi="Calibri" w:cs="Calibri"/>
                <w:bCs/>
                <w:color w:val="000000" w:themeColor="text1"/>
                <w:sz w:val="16"/>
                <w:szCs w:val="16"/>
              </w:rPr>
              <w:t>Make comments about what they have heard and ask questions to clarify their understanding. C&amp;L.LAU.ELG</w:t>
            </w:r>
          </w:p>
          <w:p w:rsidR="00D452E4" w:rsidRPr="006F7BA1" w:rsidRDefault="00D452E4" w:rsidP="00BE788A">
            <w:pPr>
              <w:pStyle w:val="Default"/>
              <w:rPr>
                <w:rFonts w:ascii="Calibri" w:hAnsi="Calibri" w:cs="Calibri"/>
                <w:bCs/>
                <w:color w:val="000000" w:themeColor="text1"/>
                <w:sz w:val="16"/>
                <w:szCs w:val="16"/>
              </w:rPr>
            </w:pPr>
          </w:p>
          <w:p w:rsidR="00D452E4" w:rsidRPr="006F7BA1" w:rsidRDefault="00D452E4" w:rsidP="00BE788A">
            <w:pPr>
              <w:pStyle w:val="Default"/>
              <w:rPr>
                <w:rFonts w:ascii="Calibri" w:hAnsi="Calibri" w:cs="Calibri"/>
                <w:b/>
                <w:bCs/>
                <w:color w:val="000000" w:themeColor="text1"/>
                <w:sz w:val="16"/>
                <w:szCs w:val="16"/>
              </w:rPr>
            </w:pPr>
            <w:r w:rsidRPr="006F7BA1">
              <w:rPr>
                <w:rStyle w:val="A3"/>
                <w:rFonts w:ascii="Calibri" w:hAnsi="Calibri" w:cs="Calibri"/>
                <w:bCs/>
                <w:color w:val="000000" w:themeColor="text1"/>
                <w:sz w:val="16"/>
                <w:szCs w:val="16"/>
              </w:rPr>
              <w:t xml:space="preserve">• </w:t>
            </w:r>
            <w:r w:rsidRPr="006F7BA1">
              <w:rPr>
                <w:rFonts w:ascii="Calibri" w:hAnsi="Calibri" w:cs="Calibri"/>
                <w:bCs/>
                <w:color w:val="000000" w:themeColor="text1"/>
                <w:sz w:val="16"/>
                <w:szCs w:val="16"/>
              </w:rPr>
              <w:t>Hold conversation when engaged in back-and-forth exchanges with their teacher and peers. C&amp;L.LAU.ELG</w:t>
            </w:r>
          </w:p>
        </w:tc>
      </w:tr>
      <w:tr w:rsidR="00D452E4" w:rsidTr="00602342">
        <w:trPr>
          <w:trHeight w:val="366"/>
        </w:trPr>
        <w:tc>
          <w:tcPr>
            <w:tcW w:w="5589" w:type="dxa"/>
          </w:tcPr>
          <w:p w:rsidR="00D452E4" w:rsidRPr="00F735BB" w:rsidRDefault="00D452E4" w:rsidP="00F735BB">
            <w:pPr>
              <w:jc w:val="center"/>
              <w:rPr>
                <w:sz w:val="20"/>
                <w:szCs w:val="20"/>
              </w:rPr>
            </w:pPr>
            <w:r w:rsidRPr="00F735BB">
              <w:rPr>
                <w:sz w:val="20"/>
                <w:szCs w:val="20"/>
              </w:rPr>
              <w:t>Reception Autumn Term</w:t>
            </w:r>
          </w:p>
        </w:tc>
        <w:tc>
          <w:tcPr>
            <w:tcW w:w="4618" w:type="dxa"/>
          </w:tcPr>
          <w:p w:rsidR="00D452E4" w:rsidRPr="00F735BB" w:rsidRDefault="00D452E4" w:rsidP="00F735BB">
            <w:pPr>
              <w:jc w:val="center"/>
              <w:rPr>
                <w:sz w:val="20"/>
                <w:szCs w:val="20"/>
              </w:rPr>
            </w:pPr>
            <w:r w:rsidRPr="00F735BB">
              <w:rPr>
                <w:sz w:val="20"/>
                <w:szCs w:val="20"/>
              </w:rPr>
              <w:t>Reception Spring</w:t>
            </w:r>
          </w:p>
        </w:tc>
        <w:tc>
          <w:tcPr>
            <w:tcW w:w="5132" w:type="dxa"/>
          </w:tcPr>
          <w:p w:rsidR="00D452E4" w:rsidRPr="00F735BB" w:rsidRDefault="00D452E4" w:rsidP="00F735BB">
            <w:pPr>
              <w:jc w:val="center"/>
              <w:rPr>
                <w:sz w:val="20"/>
                <w:szCs w:val="20"/>
              </w:rPr>
            </w:pPr>
            <w:r w:rsidRPr="00F735BB">
              <w:rPr>
                <w:sz w:val="20"/>
                <w:szCs w:val="20"/>
              </w:rPr>
              <w:t>Reception Summer Term</w:t>
            </w:r>
          </w:p>
        </w:tc>
      </w:tr>
      <w:tr w:rsidR="00D452E4" w:rsidTr="00602342">
        <w:trPr>
          <w:trHeight w:val="366"/>
        </w:trPr>
        <w:tc>
          <w:tcPr>
            <w:tcW w:w="5589" w:type="dxa"/>
          </w:tcPr>
          <w:p w:rsidR="00D452E4" w:rsidRPr="00F735BB" w:rsidRDefault="00D452E4" w:rsidP="00BE788A">
            <w:pPr>
              <w:rPr>
                <w:sz w:val="20"/>
                <w:szCs w:val="20"/>
              </w:rPr>
            </w:pPr>
            <w:r w:rsidRPr="00F735BB">
              <w:rPr>
                <w:sz w:val="20"/>
                <w:szCs w:val="20"/>
              </w:rPr>
              <w:t>Understand how to listen carefully and why listening is important. Learn new vocabulary. Engage in story times. Listen carefully to rhymes and songs, paying attention to how they sound. Engage in non-fiction books.</w:t>
            </w:r>
          </w:p>
        </w:tc>
        <w:tc>
          <w:tcPr>
            <w:tcW w:w="4618" w:type="dxa"/>
          </w:tcPr>
          <w:p w:rsidR="00D452E4" w:rsidRPr="00F735BB" w:rsidRDefault="00D452E4" w:rsidP="00BE788A">
            <w:pPr>
              <w:rPr>
                <w:sz w:val="20"/>
                <w:szCs w:val="20"/>
              </w:rPr>
            </w:pPr>
            <w:r w:rsidRPr="00F735BB">
              <w:rPr>
                <w:sz w:val="20"/>
                <w:szCs w:val="20"/>
              </w:rPr>
              <w:t xml:space="preserve">Ask questions to find out more and to check they understand what has been said to them. Listen to and talk about stories to build familiarity and understanding. Retell the story, once they have developed a deep familiarity with the text; some as exact repetition and some in their own words. Learn rhymes, poems and songs. Listen to and talk about selected nonfiction to develop deep familiarity with new knowledge and vocabulary. </w:t>
            </w:r>
          </w:p>
        </w:tc>
        <w:tc>
          <w:tcPr>
            <w:tcW w:w="5132" w:type="dxa"/>
          </w:tcPr>
          <w:p w:rsidR="00F735BB" w:rsidRDefault="00D452E4" w:rsidP="00BE788A">
            <w:pPr>
              <w:rPr>
                <w:sz w:val="20"/>
                <w:szCs w:val="20"/>
              </w:rPr>
            </w:pPr>
            <w:r w:rsidRPr="00F735BB">
              <w:rPr>
                <w:sz w:val="20"/>
                <w:szCs w:val="20"/>
              </w:rPr>
              <w:t>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rsidR="00F735BB" w:rsidRDefault="00F735BB" w:rsidP="00BE788A">
            <w:pPr>
              <w:rPr>
                <w:sz w:val="20"/>
                <w:szCs w:val="20"/>
              </w:rPr>
            </w:pPr>
          </w:p>
          <w:p w:rsidR="00F735BB" w:rsidRPr="00F735BB" w:rsidRDefault="00F735BB" w:rsidP="00BE788A">
            <w:pPr>
              <w:rPr>
                <w:sz w:val="20"/>
                <w:szCs w:val="20"/>
              </w:rPr>
            </w:pPr>
          </w:p>
          <w:p w:rsidR="00D452E4" w:rsidRPr="00F735BB" w:rsidRDefault="00D452E4" w:rsidP="00BE788A">
            <w:pPr>
              <w:rPr>
                <w:sz w:val="20"/>
                <w:szCs w:val="20"/>
              </w:rPr>
            </w:pPr>
          </w:p>
        </w:tc>
      </w:tr>
      <w:tr w:rsidR="00D452E4" w:rsidTr="00602342">
        <w:trPr>
          <w:trHeight w:val="366"/>
        </w:trPr>
        <w:tc>
          <w:tcPr>
            <w:tcW w:w="15339" w:type="dxa"/>
            <w:gridSpan w:val="3"/>
          </w:tcPr>
          <w:p w:rsidR="00D452E4" w:rsidRPr="00F735BB" w:rsidRDefault="00D452E4" w:rsidP="00BE788A">
            <w:pPr>
              <w:jc w:val="center"/>
              <w:rPr>
                <w:sz w:val="20"/>
                <w:szCs w:val="20"/>
              </w:rPr>
            </w:pPr>
            <w:r w:rsidRPr="00F735BB">
              <w:rPr>
                <w:sz w:val="20"/>
                <w:szCs w:val="20"/>
              </w:rPr>
              <w:t>How is this reflected in provision and support?</w:t>
            </w:r>
          </w:p>
        </w:tc>
      </w:tr>
      <w:tr w:rsidR="00D452E4" w:rsidTr="00602342">
        <w:trPr>
          <w:trHeight w:val="366"/>
        </w:trPr>
        <w:tc>
          <w:tcPr>
            <w:tcW w:w="15339" w:type="dxa"/>
            <w:gridSpan w:val="3"/>
          </w:tcPr>
          <w:p w:rsidR="00AC2BB1" w:rsidRDefault="00AC2BB1" w:rsidP="00AC2BB1">
            <w:pPr>
              <w:rPr>
                <w:noProof/>
                <w:lang w:eastAsia="en-GB"/>
              </w:rPr>
            </w:pPr>
            <w:r>
              <w:rPr>
                <w:noProof/>
                <w:lang w:eastAsia="en-GB"/>
              </w:rPr>
              <w:t xml:space="preserve">Storytimes embedded throught daily practise, singing and rhymes, circle times, assemblies, group times, music sessions, special visitors, topci time to learn new voacbulary and ask questions, continuous provsion time engaged with peers, working with adults across the setting, listening stations, reading areas with varieties of books and topics, open-ended play resources to promote questions. </w:t>
            </w:r>
          </w:p>
          <w:p w:rsidR="00D452E4" w:rsidRDefault="00D452E4" w:rsidP="00BE788A">
            <w:pPr>
              <w:jc w:val="center"/>
            </w:pPr>
            <w:r>
              <w:rPr>
                <w:noProof/>
                <w:lang w:eastAsia="en-GB"/>
              </w:rPr>
              <w:drawing>
                <wp:inline distT="0" distB="0" distL="0" distR="0" wp14:anchorId="15BFB51B" wp14:editId="769381EE">
                  <wp:extent cx="840386" cy="630336"/>
                  <wp:effectExtent l="0" t="9207" r="7937" b="793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451.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905055" cy="678841"/>
                          </a:xfrm>
                          <a:prstGeom prst="rect">
                            <a:avLst/>
                          </a:prstGeom>
                        </pic:spPr>
                      </pic:pic>
                    </a:graphicData>
                  </a:graphic>
                </wp:inline>
              </w:drawing>
            </w:r>
            <w:r>
              <w:rPr>
                <w:noProof/>
                <w:lang w:eastAsia="en-GB"/>
              </w:rPr>
              <w:t xml:space="preserve"> </w:t>
            </w:r>
            <w:r>
              <w:rPr>
                <w:noProof/>
                <w:lang w:eastAsia="en-GB"/>
              </w:rPr>
              <w:drawing>
                <wp:inline distT="0" distB="0" distL="0" distR="0" wp14:anchorId="13EC7F59" wp14:editId="72DE44C8">
                  <wp:extent cx="865480" cy="649156"/>
                  <wp:effectExtent l="0" t="635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613.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904057" cy="678091"/>
                          </a:xfrm>
                          <a:prstGeom prst="rect">
                            <a:avLst/>
                          </a:prstGeom>
                        </pic:spPr>
                      </pic:pic>
                    </a:graphicData>
                  </a:graphic>
                </wp:inline>
              </w:drawing>
            </w:r>
            <w:r>
              <w:rPr>
                <w:noProof/>
                <w:lang w:eastAsia="en-GB"/>
              </w:rPr>
              <w:t xml:space="preserve">  </w:t>
            </w:r>
            <w:r>
              <w:rPr>
                <w:noProof/>
                <w:lang w:eastAsia="en-GB"/>
              </w:rPr>
              <w:drawing>
                <wp:inline distT="0" distB="0" distL="0" distR="0" wp14:anchorId="5401A97C" wp14:editId="5ECFEB90">
                  <wp:extent cx="1165047" cy="8737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88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6920" cy="912664"/>
                          </a:xfrm>
                          <a:prstGeom prst="rect">
                            <a:avLst/>
                          </a:prstGeom>
                        </pic:spPr>
                      </pic:pic>
                    </a:graphicData>
                  </a:graphic>
                </wp:inline>
              </w:drawing>
            </w:r>
            <w:r>
              <w:rPr>
                <w:noProof/>
                <w:lang w:eastAsia="en-GB"/>
              </w:rPr>
              <w:t xml:space="preserve">  </w:t>
            </w:r>
            <w:r>
              <w:rPr>
                <w:noProof/>
                <w:lang w:eastAsia="en-GB"/>
              </w:rPr>
              <w:drawing>
                <wp:inline distT="0" distB="0" distL="0" distR="0" wp14:anchorId="698CD444" wp14:editId="5AB8368D">
                  <wp:extent cx="647334" cy="867560"/>
                  <wp:effectExtent l="0" t="0" r="63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0312" cy="898355"/>
                          </a:xfrm>
                          <a:prstGeom prst="rect">
                            <a:avLst/>
                          </a:prstGeom>
                        </pic:spPr>
                      </pic:pic>
                    </a:graphicData>
                  </a:graphic>
                </wp:inline>
              </w:drawing>
            </w:r>
            <w:r>
              <w:rPr>
                <w:noProof/>
                <w:lang w:eastAsia="en-GB"/>
              </w:rPr>
              <w:t xml:space="preserve">  </w:t>
            </w:r>
            <w:r>
              <w:rPr>
                <w:noProof/>
                <w:lang w:eastAsia="en-GB"/>
              </w:rPr>
              <w:drawing>
                <wp:inline distT="0" distB="0" distL="0" distR="0" wp14:anchorId="6811B71B" wp14:editId="0AAA78A1">
                  <wp:extent cx="642008" cy="86042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9896" cy="884398"/>
                          </a:xfrm>
                          <a:prstGeom prst="rect">
                            <a:avLst/>
                          </a:prstGeom>
                        </pic:spPr>
                      </pic:pic>
                    </a:graphicData>
                  </a:graphic>
                </wp:inline>
              </w:drawing>
            </w:r>
            <w:r>
              <w:rPr>
                <w:noProof/>
                <w:lang w:eastAsia="en-GB"/>
              </w:rPr>
              <w:t xml:space="preserve"> </w:t>
            </w:r>
            <w:r>
              <w:rPr>
                <w:noProof/>
                <w:lang w:eastAsia="en-GB"/>
              </w:rPr>
              <w:drawing>
                <wp:inline distT="0" distB="0" distL="0" distR="0" wp14:anchorId="48E26898" wp14:editId="30D35A39">
                  <wp:extent cx="1347572" cy="89535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6318" cy="914449"/>
                          </a:xfrm>
                          <a:prstGeom prst="rect">
                            <a:avLst/>
                          </a:prstGeom>
                        </pic:spPr>
                      </pic:pic>
                    </a:graphicData>
                  </a:graphic>
                </wp:inline>
              </w:drawing>
            </w:r>
            <w:r>
              <w:rPr>
                <w:noProof/>
                <w:lang w:eastAsia="en-GB"/>
              </w:rPr>
              <w:t xml:space="preserve"> </w:t>
            </w:r>
          </w:p>
        </w:tc>
      </w:tr>
    </w:tbl>
    <w:p w:rsidR="00D452E4" w:rsidRDefault="00D452E4"/>
    <w:tbl>
      <w:tblPr>
        <w:tblStyle w:val="TableGrid"/>
        <w:tblW w:w="15026" w:type="dxa"/>
        <w:tblInd w:w="-856" w:type="dxa"/>
        <w:tblLook w:val="04A0" w:firstRow="1" w:lastRow="0" w:firstColumn="1" w:lastColumn="0" w:noHBand="0" w:noVBand="1"/>
      </w:tblPr>
      <w:tblGrid>
        <w:gridCol w:w="4537"/>
        <w:gridCol w:w="1559"/>
        <w:gridCol w:w="3544"/>
        <w:gridCol w:w="5386"/>
      </w:tblGrid>
      <w:tr w:rsidR="00F53103" w:rsidTr="00912AA9">
        <w:trPr>
          <w:trHeight w:val="387"/>
        </w:trPr>
        <w:tc>
          <w:tcPr>
            <w:tcW w:w="15026" w:type="dxa"/>
            <w:gridSpan w:val="4"/>
            <w:tcBorders>
              <w:bottom w:val="single" w:sz="4" w:space="0" w:color="auto"/>
            </w:tcBorders>
            <w:shd w:val="clear" w:color="auto" w:fill="A8D08D" w:themeFill="accent6" w:themeFillTint="99"/>
          </w:tcPr>
          <w:p w:rsidR="00F53103" w:rsidRDefault="008C0CB0" w:rsidP="00D15BCD">
            <w:pPr>
              <w:jc w:val="center"/>
            </w:pPr>
            <w:r>
              <w:lastRenderedPageBreak/>
              <w:t xml:space="preserve">Communication and Language – Speaking </w:t>
            </w:r>
          </w:p>
        </w:tc>
      </w:tr>
      <w:tr w:rsidR="00AC2BB1" w:rsidTr="00912AA9">
        <w:trPr>
          <w:trHeight w:val="366"/>
        </w:trPr>
        <w:tc>
          <w:tcPr>
            <w:tcW w:w="6096" w:type="dxa"/>
            <w:gridSpan w:val="2"/>
            <w:shd w:val="clear" w:color="auto" w:fill="D9D9D9" w:themeFill="background1" w:themeFillShade="D9"/>
          </w:tcPr>
          <w:p w:rsidR="00AC2BB1" w:rsidRPr="00912AA9" w:rsidRDefault="00AC2BB1" w:rsidP="00D452E4">
            <w:pPr>
              <w:pStyle w:val="Default"/>
              <w:rPr>
                <w:rFonts w:ascii="Calibri" w:hAnsi="Calibri" w:cs="Calibri"/>
                <w:bCs/>
                <w:color w:val="000000" w:themeColor="text1"/>
                <w:sz w:val="16"/>
                <w:szCs w:val="16"/>
              </w:rPr>
            </w:pPr>
            <w:r w:rsidRPr="00912AA9">
              <w:rPr>
                <w:rFonts w:ascii="Calibri" w:hAnsi="Calibri" w:cs="Calibri"/>
                <w:bCs/>
                <w:color w:val="000000" w:themeColor="text1"/>
                <w:sz w:val="16"/>
                <w:szCs w:val="16"/>
              </w:rPr>
              <w:t>Three- Four Years</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Sing a large repertoire of songs. C&amp;L.3-4(f)</w:t>
            </w:r>
          </w:p>
          <w:p w:rsidR="00AC2BB1" w:rsidRPr="00912AA9" w:rsidRDefault="00AC2BB1" w:rsidP="00D452E4">
            <w:pPr>
              <w:pStyle w:val="Default"/>
              <w:rPr>
                <w:rFonts w:ascii="Calibri" w:hAnsi="Calibri" w:cs="Calibri"/>
                <w:color w:val="000000" w:themeColor="text1"/>
                <w:sz w:val="16"/>
                <w:szCs w:val="16"/>
              </w:rPr>
            </w:pPr>
            <w:r w:rsidRPr="00912AA9">
              <w:rPr>
                <w:rStyle w:val="A1"/>
                <w:rFonts w:ascii="Calibri" w:hAnsi="Calibri" w:cs="Calibri"/>
                <w:color w:val="000000" w:themeColor="text1"/>
                <w:sz w:val="16"/>
                <w:szCs w:val="16"/>
              </w:rPr>
              <w:t xml:space="preserve">• </w:t>
            </w:r>
            <w:r w:rsidRPr="00912AA9">
              <w:rPr>
                <w:rFonts w:ascii="Calibri" w:hAnsi="Calibri" w:cs="Calibri"/>
                <w:color w:val="000000" w:themeColor="text1"/>
                <w:sz w:val="16"/>
                <w:szCs w:val="16"/>
              </w:rPr>
              <w:t>Know many rhymes, be able to talk about familiar books, and be able to tell a long story. C&amp;L.3-4(g)</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Develop their communication but may continue to have problems with irregular tenses and plurals, such as ‘</w:t>
            </w:r>
            <w:proofErr w:type="spellStart"/>
            <w:r w:rsidRPr="00912AA9">
              <w:rPr>
                <w:rFonts w:ascii="Calibri" w:hAnsi="Calibri" w:cs="Calibri"/>
                <w:color w:val="000000" w:themeColor="text1"/>
                <w:sz w:val="16"/>
                <w:szCs w:val="16"/>
              </w:rPr>
              <w:t>runned</w:t>
            </w:r>
            <w:proofErr w:type="spellEnd"/>
            <w:r w:rsidRPr="00912AA9">
              <w:rPr>
                <w:rFonts w:ascii="Calibri" w:hAnsi="Calibri" w:cs="Calibri"/>
                <w:color w:val="000000" w:themeColor="text1"/>
                <w:sz w:val="16"/>
                <w:szCs w:val="16"/>
              </w:rPr>
              <w:t>’ for ‘ran’ ‘</w:t>
            </w:r>
            <w:proofErr w:type="spellStart"/>
            <w:r w:rsidRPr="00912AA9">
              <w:rPr>
                <w:rFonts w:ascii="Calibri" w:hAnsi="Calibri" w:cs="Calibri"/>
                <w:color w:val="000000" w:themeColor="text1"/>
                <w:sz w:val="16"/>
                <w:szCs w:val="16"/>
              </w:rPr>
              <w:t>swimmed</w:t>
            </w:r>
            <w:proofErr w:type="spellEnd"/>
            <w:r w:rsidRPr="00912AA9">
              <w:rPr>
                <w:rFonts w:ascii="Calibri" w:hAnsi="Calibri" w:cs="Calibri"/>
                <w:color w:val="000000" w:themeColor="text1"/>
                <w:sz w:val="16"/>
                <w:szCs w:val="16"/>
              </w:rPr>
              <w:t>’ for ‘swam’. C&amp;L.3-4(h)</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xml:space="preserve">. May have problems saying”- Some sounds: r, j, </w:t>
            </w:r>
            <w:proofErr w:type="spellStart"/>
            <w:r w:rsidRPr="00912AA9">
              <w:rPr>
                <w:rFonts w:ascii="Calibri" w:hAnsi="Calibri" w:cs="Calibri"/>
                <w:color w:val="000000" w:themeColor="text1"/>
                <w:sz w:val="16"/>
                <w:szCs w:val="16"/>
              </w:rPr>
              <w:t>th</w:t>
            </w:r>
            <w:proofErr w:type="spellEnd"/>
            <w:r w:rsidRPr="00912AA9">
              <w:rPr>
                <w:rFonts w:ascii="Calibri" w:hAnsi="Calibri" w:cs="Calibri"/>
                <w:color w:val="000000" w:themeColor="text1"/>
                <w:sz w:val="16"/>
                <w:szCs w:val="16"/>
              </w:rPr>
              <w:t xml:space="preserve">, </w:t>
            </w:r>
            <w:proofErr w:type="spellStart"/>
            <w:r w:rsidRPr="00912AA9">
              <w:rPr>
                <w:rFonts w:ascii="Calibri" w:hAnsi="Calibri" w:cs="Calibri"/>
                <w:color w:val="000000" w:themeColor="text1"/>
                <w:sz w:val="16"/>
                <w:szCs w:val="16"/>
              </w:rPr>
              <w:t>ch</w:t>
            </w:r>
            <w:proofErr w:type="spellEnd"/>
            <w:r w:rsidRPr="00912AA9">
              <w:rPr>
                <w:rFonts w:ascii="Calibri" w:hAnsi="Calibri" w:cs="Calibri"/>
                <w:color w:val="000000" w:themeColor="text1"/>
                <w:sz w:val="16"/>
                <w:szCs w:val="16"/>
              </w:rPr>
              <w:t xml:space="preserve">, and </w:t>
            </w:r>
            <w:proofErr w:type="spellStart"/>
            <w:r w:rsidRPr="00912AA9">
              <w:rPr>
                <w:rFonts w:ascii="Calibri" w:hAnsi="Calibri" w:cs="Calibri"/>
                <w:color w:val="000000" w:themeColor="text1"/>
                <w:sz w:val="16"/>
                <w:szCs w:val="16"/>
              </w:rPr>
              <w:t>sh</w:t>
            </w:r>
            <w:proofErr w:type="spellEnd"/>
            <w:r w:rsidRPr="00912AA9">
              <w:rPr>
                <w:rFonts w:ascii="Calibri" w:hAnsi="Calibri" w:cs="Calibri"/>
                <w:color w:val="000000" w:themeColor="text1"/>
                <w:sz w:val="16"/>
                <w:szCs w:val="16"/>
              </w:rPr>
              <w:t xml:space="preserve"> – multi-syllabic words such as ‘pterodactyl’, ‘planetarium’, or ‘hippopotamus’. C&amp;L.3-4(</w:t>
            </w:r>
            <w:proofErr w:type="spellStart"/>
            <w:r w:rsidRPr="00912AA9">
              <w:rPr>
                <w:rFonts w:ascii="Calibri" w:hAnsi="Calibri" w:cs="Calibri"/>
                <w:color w:val="000000" w:themeColor="text1"/>
                <w:sz w:val="16"/>
                <w:szCs w:val="16"/>
              </w:rPr>
              <w:t>i</w:t>
            </w:r>
            <w:proofErr w:type="spellEnd"/>
            <w:r w:rsidRPr="00912AA9">
              <w:rPr>
                <w:rFonts w:ascii="Calibri" w:hAnsi="Calibri" w:cs="Calibri"/>
                <w:color w:val="000000" w:themeColor="text1"/>
                <w:sz w:val="16"/>
                <w:szCs w:val="16"/>
              </w:rPr>
              <w:t>)</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Use longer sentences of four to six words. C&amp;L.3-4(j)</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Be able to express a point of view and to debate when they disagree with an adult or a friend, using words as well as actions. C&amp;L.3-4(k)</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Can start a conversation with an adult or a friend and continue it for many turns. C&amp;L.3-4(l)</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Use talk to organise themselves and their play: “Let’s go on a bus… you sit there… I’ll be the bus driver.” C&amp;L.3-4(m)</w:t>
            </w:r>
          </w:p>
          <w:p w:rsidR="00AC2BB1" w:rsidRPr="00912AA9" w:rsidRDefault="00AC2BB1" w:rsidP="00D452E4">
            <w:pPr>
              <w:pStyle w:val="Default"/>
              <w:rPr>
                <w:rFonts w:ascii="Calibri" w:hAnsi="Calibri" w:cs="Calibri"/>
                <w:bCs/>
                <w:color w:val="000000" w:themeColor="text1"/>
                <w:sz w:val="16"/>
                <w:szCs w:val="16"/>
              </w:rPr>
            </w:pPr>
          </w:p>
        </w:tc>
        <w:tc>
          <w:tcPr>
            <w:tcW w:w="3544" w:type="dxa"/>
            <w:shd w:val="clear" w:color="auto" w:fill="D9D9D9" w:themeFill="background1" w:themeFillShade="D9"/>
          </w:tcPr>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bCs/>
                <w:color w:val="000000" w:themeColor="text1"/>
                <w:sz w:val="16"/>
                <w:szCs w:val="16"/>
              </w:rPr>
              <w:t>Reception</w:t>
            </w:r>
            <w:r w:rsidRPr="00912AA9">
              <w:rPr>
                <w:rFonts w:ascii="Calibri" w:hAnsi="Calibri" w:cs="Calibri"/>
                <w:color w:val="000000" w:themeColor="text1"/>
                <w:sz w:val="16"/>
                <w:szCs w:val="16"/>
              </w:rPr>
              <w:t xml:space="preserve">. </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Learn new vocabulary. C&amp;L.REC(b)</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Use new vocabulary through the day. C&amp;L.REC(c)</w:t>
            </w:r>
          </w:p>
          <w:p w:rsidR="00AC2BB1" w:rsidRPr="00912AA9" w:rsidRDefault="00AC2BB1" w:rsidP="00D452E4">
            <w:pPr>
              <w:rPr>
                <w:rFonts w:ascii="Calibri" w:hAnsi="Calibri" w:cs="Calibri"/>
                <w:bCs/>
                <w:color w:val="000000" w:themeColor="text1"/>
                <w:sz w:val="16"/>
                <w:szCs w:val="16"/>
                <w:u w:val="double"/>
              </w:rPr>
            </w:pPr>
            <w:r w:rsidRPr="00912AA9">
              <w:rPr>
                <w:rFonts w:ascii="Calibri" w:hAnsi="Calibri" w:cs="Calibri"/>
                <w:color w:val="000000" w:themeColor="text1"/>
                <w:sz w:val="16"/>
                <w:szCs w:val="16"/>
              </w:rPr>
              <w:t>. Ask questions to find out more and to check they understand what has been said to them. C&amp;L.REC(d)</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Articulate their ideas and thoughts in well-formed sentences. C&amp;L.REC(e)</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Connect one idea or action to another using a range of connectives. C&amp;L.REC(f)</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Describe events in some detail. C&amp;L.REC(g)</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.Use talk to help work out problems and organise thinking and activities explain how things work and why they might happen. C&amp;L.REC(h)</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Develop social phrases. . C&amp;L.REC(</w:t>
            </w:r>
            <w:proofErr w:type="spellStart"/>
            <w:r w:rsidRPr="00912AA9">
              <w:rPr>
                <w:rFonts w:ascii="Calibri" w:hAnsi="Calibri" w:cs="Calibri"/>
                <w:color w:val="000000" w:themeColor="text1"/>
                <w:sz w:val="16"/>
                <w:szCs w:val="16"/>
              </w:rPr>
              <w:t>i</w:t>
            </w:r>
            <w:proofErr w:type="spellEnd"/>
            <w:r w:rsidRPr="00912AA9">
              <w:rPr>
                <w:rFonts w:ascii="Calibri" w:hAnsi="Calibri" w:cs="Calibri"/>
                <w:color w:val="000000" w:themeColor="text1"/>
                <w:sz w:val="16"/>
                <w:szCs w:val="16"/>
              </w:rPr>
              <w:t>)</w:t>
            </w:r>
          </w:p>
          <w:p w:rsidR="00AC2BB1" w:rsidRPr="00912AA9" w:rsidRDefault="00AC2BB1" w:rsidP="00D452E4">
            <w:pPr>
              <w:pStyle w:val="Default"/>
              <w:rPr>
                <w:rFonts w:ascii="Calibri" w:hAnsi="Calibri" w:cs="Calibri"/>
                <w:color w:val="000000" w:themeColor="text1"/>
                <w:sz w:val="16"/>
                <w:szCs w:val="16"/>
              </w:rPr>
            </w:pPr>
            <w:r w:rsidRPr="00912AA9">
              <w:rPr>
                <w:rFonts w:ascii="Calibri" w:hAnsi="Calibri" w:cs="Calibri"/>
                <w:color w:val="000000" w:themeColor="text1"/>
                <w:sz w:val="16"/>
                <w:szCs w:val="16"/>
              </w:rPr>
              <w:t>. Engage in story times. . C&amp;L.REC(j)</w:t>
            </w:r>
          </w:p>
        </w:tc>
        <w:tc>
          <w:tcPr>
            <w:tcW w:w="5386" w:type="dxa"/>
            <w:shd w:val="clear" w:color="auto" w:fill="D9D9D9" w:themeFill="background1" w:themeFillShade="D9"/>
          </w:tcPr>
          <w:p w:rsidR="00AC2BB1" w:rsidRPr="00912AA9" w:rsidRDefault="00AC2BB1" w:rsidP="00D452E4">
            <w:pPr>
              <w:pStyle w:val="Default"/>
              <w:rPr>
                <w:rFonts w:ascii="Calibri" w:hAnsi="Calibri" w:cs="Calibri"/>
                <w:bCs/>
                <w:color w:val="000000" w:themeColor="text1"/>
                <w:sz w:val="16"/>
                <w:szCs w:val="16"/>
              </w:rPr>
            </w:pPr>
            <w:proofErr w:type="gramStart"/>
            <w:r w:rsidRPr="00912AA9">
              <w:rPr>
                <w:rFonts w:ascii="Calibri" w:hAnsi="Calibri" w:cs="Calibri"/>
                <w:bCs/>
                <w:color w:val="000000" w:themeColor="text1"/>
                <w:sz w:val="16"/>
                <w:szCs w:val="16"/>
              </w:rPr>
              <w:t>ELG .</w:t>
            </w:r>
            <w:proofErr w:type="gramEnd"/>
          </w:p>
          <w:p w:rsidR="00AC2BB1" w:rsidRPr="00912AA9" w:rsidRDefault="00AC2BB1" w:rsidP="00D452E4">
            <w:pPr>
              <w:pStyle w:val="Default"/>
              <w:rPr>
                <w:rFonts w:ascii="Calibri" w:hAnsi="Calibri" w:cs="Calibri"/>
                <w:bCs/>
                <w:color w:val="000000" w:themeColor="text1"/>
                <w:sz w:val="16"/>
                <w:szCs w:val="16"/>
              </w:rPr>
            </w:pPr>
            <w:r w:rsidRPr="00912AA9">
              <w:rPr>
                <w:rFonts w:ascii="Calibri" w:hAnsi="Calibri" w:cs="Calibri"/>
                <w:color w:val="000000" w:themeColor="text1"/>
                <w:sz w:val="16"/>
                <w:szCs w:val="16"/>
              </w:rPr>
              <w:t xml:space="preserve">. </w:t>
            </w:r>
            <w:r w:rsidRPr="00912AA9">
              <w:rPr>
                <w:rFonts w:ascii="Calibri" w:hAnsi="Calibri" w:cs="Calibri"/>
                <w:bCs/>
                <w:color w:val="000000" w:themeColor="text1"/>
                <w:sz w:val="16"/>
                <w:szCs w:val="16"/>
              </w:rPr>
              <w:t>Participate in small group, class and one-to-one discussions, offering their own ideas, using recently introduced vocabulary. C&amp;L.SP.ELG</w:t>
            </w:r>
          </w:p>
          <w:p w:rsidR="00AC2BB1" w:rsidRPr="00912AA9" w:rsidRDefault="00AC2BB1" w:rsidP="00D452E4">
            <w:pPr>
              <w:pStyle w:val="Default"/>
              <w:rPr>
                <w:rFonts w:ascii="Calibri" w:hAnsi="Calibri" w:cs="Calibri"/>
                <w:bCs/>
                <w:color w:val="000000" w:themeColor="text1"/>
                <w:sz w:val="16"/>
                <w:szCs w:val="16"/>
              </w:rPr>
            </w:pPr>
          </w:p>
          <w:p w:rsidR="00AC2BB1" w:rsidRPr="00912AA9" w:rsidRDefault="00AC2BB1" w:rsidP="00D452E4">
            <w:pPr>
              <w:pStyle w:val="Default"/>
              <w:rPr>
                <w:rFonts w:ascii="Calibri" w:hAnsi="Calibri" w:cs="Calibri"/>
                <w:bCs/>
                <w:color w:val="000000" w:themeColor="text1"/>
                <w:sz w:val="16"/>
                <w:szCs w:val="16"/>
              </w:rPr>
            </w:pPr>
            <w:r w:rsidRPr="00912AA9">
              <w:rPr>
                <w:rStyle w:val="A3"/>
                <w:rFonts w:ascii="Calibri" w:hAnsi="Calibri" w:cs="Calibri"/>
                <w:bCs/>
                <w:color w:val="000000" w:themeColor="text1"/>
                <w:sz w:val="16"/>
                <w:szCs w:val="16"/>
              </w:rPr>
              <w:t xml:space="preserve">• </w:t>
            </w:r>
            <w:r w:rsidRPr="00912AA9">
              <w:rPr>
                <w:rFonts w:ascii="Calibri" w:hAnsi="Calibri" w:cs="Calibri"/>
                <w:bCs/>
                <w:color w:val="000000" w:themeColor="text1"/>
                <w:sz w:val="16"/>
                <w:szCs w:val="16"/>
              </w:rPr>
              <w:t>Offer explanations for why things might happen, making use of recently introduced vocabulary from stories, non-fiction, rhymes and poems when appropriate. C&amp;L.SP.ELG</w:t>
            </w:r>
          </w:p>
          <w:p w:rsidR="00AC2BB1" w:rsidRPr="00912AA9" w:rsidRDefault="00AC2BB1" w:rsidP="00D452E4">
            <w:pPr>
              <w:pStyle w:val="Default"/>
              <w:rPr>
                <w:rFonts w:ascii="Calibri" w:hAnsi="Calibri" w:cs="Calibri"/>
                <w:bCs/>
                <w:color w:val="000000" w:themeColor="text1"/>
                <w:sz w:val="16"/>
                <w:szCs w:val="16"/>
              </w:rPr>
            </w:pPr>
          </w:p>
          <w:p w:rsidR="00AC2BB1" w:rsidRPr="00912AA9" w:rsidRDefault="00AC2BB1" w:rsidP="00D452E4">
            <w:pPr>
              <w:pStyle w:val="Default"/>
              <w:rPr>
                <w:rFonts w:ascii="Calibri" w:hAnsi="Calibri" w:cs="Calibri"/>
                <w:bCs/>
                <w:color w:val="000000" w:themeColor="text1"/>
                <w:sz w:val="16"/>
                <w:szCs w:val="16"/>
              </w:rPr>
            </w:pPr>
            <w:r w:rsidRPr="00912AA9">
              <w:rPr>
                <w:rStyle w:val="A3"/>
                <w:rFonts w:ascii="Calibri" w:hAnsi="Calibri" w:cs="Calibri"/>
                <w:bCs/>
                <w:color w:val="000000" w:themeColor="text1"/>
                <w:sz w:val="16"/>
                <w:szCs w:val="16"/>
              </w:rPr>
              <w:t xml:space="preserve">• </w:t>
            </w:r>
            <w:r w:rsidRPr="00912AA9">
              <w:rPr>
                <w:rFonts w:ascii="Calibri" w:hAnsi="Calibri" w:cs="Calibri"/>
                <w:bCs/>
                <w:color w:val="000000" w:themeColor="text1"/>
                <w:sz w:val="16"/>
                <w:szCs w:val="16"/>
              </w:rPr>
              <w:t>Express their ideas and feelings about their experiences using full sentences, including use of past, present and future tenses and making use of conjunctions, with modelling and support from their teac</w:t>
            </w:r>
            <w:bookmarkStart w:id="0" w:name="_GoBack"/>
            <w:bookmarkEnd w:id="0"/>
            <w:r w:rsidRPr="00912AA9">
              <w:rPr>
                <w:rFonts w:ascii="Calibri" w:hAnsi="Calibri" w:cs="Calibri"/>
                <w:bCs/>
                <w:color w:val="000000" w:themeColor="text1"/>
                <w:sz w:val="16"/>
                <w:szCs w:val="16"/>
              </w:rPr>
              <w:t>her. C&amp;L.SP.ELG</w:t>
            </w:r>
          </w:p>
        </w:tc>
      </w:tr>
      <w:tr w:rsidR="00D452E4" w:rsidTr="00602342">
        <w:trPr>
          <w:trHeight w:val="366"/>
        </w:trPr>
        <w:tc>
          <w:tcPr>
            <w:tcW w:w="4537" w:type="dxa"/>
          </w:tcPr>
          <w:p w:rsidR="00D452E4" w:rsidRDefault="00D452E4" w:rsidP="00D452E4">
            <w:r>
              <w:t>Reception Autumn Term</w:t>
            </w:r>
          </w:p>
        </w:tc>
        <w:tc>
          <w:tcPr>
            <w:tcW w:w="5103" w:type="dxa"/>
            <w:gridSpan w:val="2"/>
          </w:tcPr>
          <w:p w:rsidR="00D452E4" w:rsidRDefault="00D452E4" w:rsidP="00D452E4">
            <w:r>
              <w:t>Reception Spring</w:t>
            </w:r>
          </w:p>
        </w:tc>
        <w:tc>
          <w:tcPr>
            <w:tcW w:w="5386" w:type="dxa"/>
          </w:tcPr>
          <w:p w:rsidR="00D452E4" w:rsidRDefault="00D452E4" w:rsidP="00D452E4">
            <w:r>
              <w:t>Reception Summer Term</w:t>
            </w:r>
          </w:p>
        </w:tc>
      </w:tr>
      <w:tr w:rsidR="00D452E4" w:rsidTr="00602342">
        <w:trPr>
          <w:trHeight w:val="366"/>
        </w:trPr>
        <w:tc>
          <w:tcPr>
            <w:tcW w:w="4537" w:type="dxa"/>
          </w:tcPr>
          <w:p w:rsidR="00D452E4" w:rsidRPr="00602342" w:rsidRDefault="00D452E4" w:rsidP="00D452E4">
            <w:pPr>
              <w:rPr>
                <w:sz w:val="20"/>
                <w:szCs w:val="20"/>
              </w:rPr>
            </w:pPr>
            <w:r w:rsidRPr="00602342">
              <w:rPr>
                <w:sz w:val="20"/>
                <w:szCs w:val="20"/>
              </w:rPr>
              <w:t>Use new vocabulary through the day. Articulate their ideas and thoughts in well-formed sentences. Connect one idea or action to another using a range of connectives.</w:t>
            </w:r>
          </w:p>
          <w:p w:rsidR="00D452E4" w:rsidRPr="00602342" w:rsidRDefault="00D452E4" w:rsidP="00D452E4">
            <w:pPr>
              <w:rPr>
                <w:sz w:val="20"/>
                <w:szCs w:val="20"/>
              </w:rPr>
            </w:pPr>
            <w:r w:rsidRPr="00602342">
              <w:rPr>
                <w:rFonts w:ascii="Sassoon Infant Std" w:hAnsi="Sassoon Infant Std"/>
                <w:bCs/>
                <w:sz w:val="20"/>
                <w:szCs w:val="20"/>
              </w:rPr>
              <w:t>I am using longer sentences of 4 – 6 words.</w:t>
            </w:r>
          </w:p>
        </w:tc>
        <w:tc>
          <w:tcPr>
            <w:tcW w:w="5103" w:type="dxa"/>
            <w:gridSpan w:val="2"/>
          </w:tcPr>
          <w:p w:rsidR="00D452E4" w:rsidRPr="00602342" w:rsidRDefault="00D452E4" w:rsidP="00D452E4">
            <w:pPr>
              <w:rPr>
                <w:rFonts w:ascii="Calibri" w:hAnsi="Calibri" w:cs="Calibri"/>
                <w:sz w:val="20"/>
                <w:szCs w:val="20"/>
              </w:rPr>
            </w:pPr>
            <w:r w:rsidRPr="00602342">
              <w:rPr>
                <w:rFonts w:ascii="Calibri" w:hAnsi="Calibri" w:cs="Calibri"/>
                <w:sz w:val="20"/>
                <w:szCs w:val="20"/>
              </w:rPr>
              <w:t>Describe events in some detail. Use talk to help work out problems and organise thinking and activities, and to explain how things work and why them might happen. Develop social phrases. Use new vocabulary in different contexts</w:t>
            </w:r>
          </w:p>
          <w:p w:rsidR="00D452E4" w:rsidRPr="00602342" w:rsidRDefault="00D452E4" w:rsidP="00D452E4">
            <w:pPr>
              <w:rPr>
                <w:rFonts w:ascii="Calibri" w:hAnsi="Calibri" w:cs="Calibri"/>
                <w:bCs/>
                <w:sz w:val="20"/>
                <w:szCs w:val="20"/>
              </w:rPr>
            </w:pPr>
            <w:r w:rsidRPr="00602342">
              <w:rPr>
                <w:rFonts w:ascii="Calibri" w:hAnsi="Calibri" w:cs="Calibri"/>
                <w:bCs/>
                <w:sz w:val="20"/>
                <w:szCs w:val="20"/>
              </w:rPr>
              <w:t>Articulate my ideas and thoughts through well-articulated sentences.</w:t>
            </w:r>
          </w:p>
          <w:p w:rsidR="00D452E4" w:rsidRPr="00602342" w:rsidRDefault="00D452E4" w:rsidP="00D452E4">
            <w:pPr>
              <w:rPr>
                <w:sz w:val="20"/>
                <w:szCs w:val="20"/>
              </w:rPr>
            </w:pPr>
            <w:r w:rsidRPr="00602342">
              <w:rPr>
                <w:rFonts w:ascii="Calibri" w:hAnsi="Calibri" w:cs="Calibri"/>
                <w:bCs/>
                <w:sz w:val="20"/>
                <w:szCs w:val="20"/>
              </w:rPr>
              <w:t>Be able to talk with peers in play to organise games and role play.</w:t>
            </w:r>
            <w:r w:rsidRPr="00602342">
              <w:rPr>
                <w:rFonts w:ascii="Sassoon Infant Std" w:hAnsi="Sassoon Infant Std"/>
                <w:bCs/>
                <w:sz w:val="20"/>
                <w:szCs w:val="20"/>
              </w:rPr>
              <w:t xml:space="preserve"> </w:t>
            </w:r>
          </w:p>
        </w:tc>
        <w:tc>
          <w:tcPr>
            <w:tcW w:w="5386" w:type="dxa"/>
          </w:tcPr>
          <w:p w:rsidR="00D452E4" w:rsidRPr="00602342" w:rsidRDefault="00D452E4" w:rsidP="00D452E4">
            <w:pPr>
              <w:rPr>
                <w:sz w:val="20"/>
                <w:szCs w:val="20"/>
              </w:rPr>
            </w:pPr>
            <w:r w:rsidRPr="00602342">
              <w:rPr>
                <w:sz w:val="20"/>
                <w:szCs w:val="20"/>
              </w:rPr>
              <w:t>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p w:rsidR="00D452E4" w:rsidRPr="00602342" w:rsidRDefault="00D452E4" w:rsidP="00D452E4">
            <w:pPr>
              <w:rPr>
                <w:sz w:val="20"/>
                <w:szCs w:val="20"/>
              </w:rPr>
            </w:pPr>
          </w:p>
        </w:tc>
      </w:tr>
      <w:tr w:rsidR="00D452E4" w:rsidTr="00602342">
        <w:trPr>
          <w:trHeight w:val="366"/>
        </w:trPr>
        <w:tc>
          <w:tcPr>
            <w:tcW w:w="15026" w:type="dxa"/>
            <w:gridSpan w:val="4"/>
          </w:tcPr>
          <w:p w:rsidR="00D452E4" w:rsidRPr="00D75F3F" w:rsidRDefault="00D452E4" w:rsidP="00D452E4">
            <w:pPr>
              <w:jc w:val="center"/>
              <w:rPr>
                <w:sz w:val="20"/>
                <w:szCs w:val="20"/>
              </w:rPr>
            </w:pPr>
            <w:r w:rsidRPr="00D75F3F">
              <w:rPr>
                <w:sz w:val="20"/>
                <w:szCs w:val="20"/>
              </w:rPr>
              <w:t>How is this reflected in provision and support?</w:t>
            </w:r>
          </w:p>
        </w:tc>
      </w:tr>
      <w:tr w:rsidR="00D452E4" w:rsidTr="00602342">
        <w:trPr>
          <w:trHeight w:val="2421"/>
        </w:trPr>
        <w:tc>
          <w:tcPr>
            <w:tcW w:w="15026" w:type="dxa"/>
            <w:gridSpan w:val="4"/>
          </w:tcPr>
          <w:p w:rsidR="00D452E4" w:rsidRPr="00D75F3F" w:rsidRDefault="00AC2BB1" w:rsidP="00AC2BB1">
            <w:pPr>
              <w:rPr>
                <w:sz w:val="20"/>
                <w:szCs w:val="20"/>
              </w:rPr>
            </w:pPr>
            <w:r w:rsidRPr="00D75F3F">
              <w:rPr>
                <w:sz w:val="20"/>
                <w:szCs w:val="20"/>
              </w:rPr>
              <w:t xml:space="preserve">Continuous provision </w:t>
            </w:r>
            <w:r w:rsidR="00D75F3F" w:rsidRPr="00D75F3F">
              <w:rPr>
                <w:sz w:val="20"/>
                <w:szCs w:val="20"/>
              </w:rPr>
              <w:t xml:space="preserve">set up to provoke conversation, Talk for Writing to rehearse and practise key stories, story times throughout the day, shared discussions to collect vocabulary and ideas, free flow snack table to promote conversations with peers, assemblies, singing practise, shared games and play opportunities, buddy systems, home learning, Talk Boost, </w:t>
            </w:r>
            <w:r w:rsidR="00D75F3F">
              <w:rPr>
                <w:sz w:val="20"/>
                <w:szCs w:val="20"/>
              </w:rPr>
              <w:t xml:space="preserve">mixed groupings to provide strong language groupings, differentiated questioning, parental engagement, vocabulary packs, planned vocabulary, look for understanding through play, </w:t>
            </w:r>
            <w:proofErr w:type="spellStart"/>
            <w:r w:rsidR="00D75F3F">
              <w:rPr>
                <w:sz w:val="20"/>
                <w:szCs w:val="20"/>
              </w:rPr>
              <w:t>SHreck</w:t>
            </w:r>
            <w:proofErr w:type="spellEnd"/>
            <w:r w:rsidR="00D75F3F">
              <w:rPr>
                <w:sz w:val="20"/>
                <w:szCs w:val="20"/>
              </w:rPr>
              <w:t xml:space="preserve"> model, high quality staff interactions, planned </w:t>
            </w:r>
            <w:proofErr w:type="spellStart"/>
            <w:r w:rsidR="00D75F3F">
              <w:rPr>
                <w:sz w:val="20"/>
                <w:szCs w:val="20"/>
              </w:rPr>
              <w:t>oracy</w:t>
            </w:r>
            <w:proofErr w:type="spellEnd"/>
            <w:r w:rsidR="00D75F3F">
              <w:rPr>
                <w:sz w:val="20"/>
                <w:szCs w:val="20"/>
              </w:rPr>
              <w:t xml:space="preserve"> times, planned scaffolding to extend and model time, adults timetables to engage in play, parental workshops</w:t>
            </w:r>
          </w:p>
          <w:p w:rsidR="00D452E4" w:rsidRDefault="00D75F3F" w:rsidP="00F735BB">
            <w:r>
              <w:rPr>
                <w:rFonts w:ascii="Times New Roman" w:hAnsi="Times New Roman" w:cs="Times New Roman"/>
                <w:noProof/>
                <w:sz w:val="24"/>
                <w:szCs w:val="24"/>
                <w:lang w:eastAsia="en-GB"/>
              </w:rPr>
              <w:drawing>
                <wp:anchor distT="36576" distB="36576" distL="36576" distR="36576" simplePos="0" relativeHeight="251663360" behindDoc="0" locked="0" layoutInCell="1" allowOverlap="1" wp14:anchorId="58FFE3D1" wp14:editId="6BD39F2A">
                  <wp:simplePos x="0" y="0"/>
                  <wp:positionH relativeFrom="column">
                    <wp:posOffset>6090920</wp:posOffset>
                  </wp:positionH>
                  <wp:positionV relativeFrom="paragraph">
                    <wp:posOffset>19685</wp:posOffset>
                  </wp:positionV>
                  <wp:extent cx="904875" cy="678656"/>
                  <wp:effectExtent l="0" t="0" r="0" b="7620"/>
                  <wp:wrapNone/>
                  <wp:docPr id="2" name="Picture 2" descr="IMG_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6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67865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452E4">
              <w:rPr>
                <w:noProof/>
                <w:lang w:eastAsia="en-GB"/>
              </w:rPr>
              <w:t xml:space="preserve">            </w:t>
            </w:r>
            <w:r>
              <w:rPr>
                <w:noProof/>
                <w:lang w:eastAsia="en-GB"/>
              </w:rPr>
              <w:t xml:space="preserve">                                     </w:t>
            </w:r>
            <w:r w:rsidR="00D452E4">
              <w:rPr>
                <w:noProof/>
                <w:lang w:eastAsia="en-GB"/>
              </w:rPr>
              <w:drawing>
                <wp:inline distT="0" distB="0" distL="0" distR="0" wp14:anchorId="308E1115" wp14:editId="55323229">
                  <wp:extent cx="743702" cy="557818"/>
                  <wp:effectExtent l="0" t="2222"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329.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90545" cy="592953"/>
                          </a:xfrm>
                          <a:prstGeom prst="rect">
                            <a:avLst/>
                          </a:prstGeom>
                        </pic:spPr>
                      </pic:pic>
                    </a:graphicData>
                  </a:graphic>
                </wp:inline>
              </w:drawing>
            </w:r>
            <w:r w:rsidR="00D452E4">
              <w:t xml:space="preserve"> </w:t>
            </w:r>
            <w:r w:rsidR="00D452E4">
              <w:rPr>
                <w:noProof/>
                <w:lang w:eastAsia="en-GB"/>
              </w:rPr>
              <w:drawing>
                <wp:inline distT="0" distB="0" distL="0" distR="0" wp14:anchorId="01BB3F71" wp14:editId="077D7EC9">
                  <wp:extent cx="990600" cy="74292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423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8288" cy="771194"/>
                          </a:xfrm>
                          <a:prstGeom prst="rect">
                            <a:avLst/>
                          </a:prstGeom>
                        </pic:spPr>
                      </pic:pic>
                    </a:graphicData>
                  </a:graphic>
                </wp:inline>
              </w:drawing>
            </w:r>
            <w:r w:rsidR="00D452E4">
              <w:rPr>
                <w:noProof/>
                <w:lang w:eastAsia="en-GB"/>
              </w:rPr>
              <w:t xml:space="preserve">  </w:t>
            </w:r>
            <w:r w:rsidR="00D452E4">
              <w:rPr>
                <w:noProof/>
                <w:lang w:eastAsia="en-GB"/>
              </w:rPr>
              <w:drawing>
                <wp:inline distT="0" distB="0" distL="0" distR="0" wp14:anchorId="7475A95B" wp14:editId="60EEEBB4">
                  <wp:extent cx="687781" cy="515873"/>
                  <wp:effectExtent l="0" t="9207" r="7937" b="793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330.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738500" cy="553915"/>
                          </a:xfrm>
                          <a:prstGeom prst="rect">
                            <a:avLst/>
                          </a:prstGeom>
                        </pic:spPr>
                      </pic:pic>
                    </a:graphicData>
                  </a:graphic>
                </wp:inline>
              </w:drawing>
            </w:r>
            <w:r w:rsidR="00D452E4">
              <w:rPr>
                <w:noProof/>
                <w:lang w:eastAsia="en-GB"/>
              </w:rPr>
              <w:t xml:space="preserve"> </w:t>
            </w:r>
            <w:r w:rsidR="00D452E4">
              <w:rPr>
                <w:rFonts w:ascii="Times New Roman" w:hAnsi="Times New Roman" w:cs="Times New Roman"/>
                <w:noProof/>
                <w:sz w:val="24"/>
                <w:szCs w:val="24"/>
                <w:lang w:eastAsia="en-GB"/>
              </w:rPr>
              <w:t xml:space="preserve"> </w:t>
            </w:r>
            <w:r w:rsidR="00D452E4">
              <w:rPr>
                <w:rFonts w:ascii="Times New Roman" w:hAnsi="Times New Roman" w:cs="Times New Roman"/>
                <w:noProof/>
                <w:sz w:val="24"/>
                <w:szCs w:val="24"/>
                <w:lang w:eastAsia="en-GB"/>
              </w:rPr>
              <w:drawing>
                <wp:inline distT="0" distB="0" distL="0" distR="0" wp14:anchorId="48D5396C" wp14:editId="3708C6B1">
                  <wp:extent cx="552450" cy="70987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7352" cy="741876"/>
                          </a:xfrm>
                          <a:prstGeom prst="rect">
                            <a:avLst/>
                          </a:prstGeom>
                        </pic:spPr>
                      </pic:pic>
                    </a:graphicData>
                  </a:graphic>
                </wp:inline>
              </w:drawing>
            </w:r>
            <w:r w:rsidR="00D452E4">
              <w:rPr>
                <w:noProof/>
                <w:lang w:eastAsia="en-GB"/>
              </w:rPr>
              <w:t xml:space="preserve">  </w:t>
            </w:r>
            <w:r w:rsidR="00D452E4">
              <w:rPr>
                <w:noProof/>
                <w:lang w:eastAsia="en-GB"/>
              </w:rPr>
              <w:drawing>
                <wp:inline distT="0" distB="0" distL="0" distR="0" wp14:anchorId="66BB41B3" wp14:editId="38D46238">
                  <wp:extent cx="542925" cy="718577"/>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4015" cy="746490"/>
                          </a:xfrm>
                          <a:prstGeom prst="rect">
                            <a:avLst/>
                          </a:prstGeom>
                        </pic:spPr>
                      </pic:pic>
                    </a:graphicData>
                  </a:graphic>
                </wp:inline>
              </w:drawing>
            </w:r>
            <w:r w:rsidR="00D452E4">
              <w:rPr>
                <w:noProof/>
                <w:lang w:eastAsia="en-GB"/>
              </w:rPr>
              <w:t xml:space="preserve">   </w:t>
            </w:r>
            <w:r w:rsidR="00D452E4">
              <w:rPr>
                <w:noProof/>
                <w:lang w:eastAsia="en-GB"/>
              </w:rPr>
              <w:drawing>
                <wp:inline distT="0" distB="0" distL="0" distR="0" wp14:anchorId="46C8D14A" wp14:editId="2111E0A5">
                  <wp:extent cx="981075" cy="734859"/>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s (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22574" cy="765943"/>
                          </a:xfrm>
                          <a:prstGeom prst="rect">
                            <a:avLst/>
                          </a:prstGeom>
                        </pic:spPr>
                      </pic:pic>
                    </a:graphicData>
                  </a:graphic>
                </wp:inline>
              </w:drawing>
            </w:r>
          </w:p>
        </w:tc>
      </w:tr>
    </w:tbl>
    <w:p w:rsidR="008204B8" w:rsidRDefault="008204B8" w:rsidP="00F735BB"/>
    <w:sectPr w:rsidR="008204B8" w:rsidSect="00912AA9">
      <w:head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859" w:rsidRDefault="00590859" w:rsidP="00590859">
      <w:pPr>
        <w:spacing w:after="0" w:line="240" w:lineRule="auto"/>
      </w:pPr>
      <w:r>
        <w:separator/>
      </w:r>
    </w:p>
  </w:endnote>
  <w:endnote w:type="continuationSeparator" w:id="0">
    <w:p w:rsidR="00590859" w:rsidRDefault="00590859" w:rsidP="0059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Sassoon Infant Rg">
    <w:altName w:val="Corbel"/>
    <w:charset w:val="00"/>
    <w:family w:val="auto"/>
    <w:pitch w:val="variable"/>
    <w:sig w:usb0="800000AF" w:usb1="4000004A" w:usb2="00000010" w:usb3="00000000" w:csb0="00000001" w:csb1="00000000"/>
  </w:font>
  <w:font w:name="Sassoon Infant Std">
    <w:altName w:val="Calibri"/>
    <w:panose1 w:val="00000000000000000000"/>
    <w:charset w:val="00"/>
    <w:family w:val="swiss"/>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859" w:rsidRDefault="00590859" w:rsidP="00590859">
      <w:pPr>
        <w:spacing w:after="0" w:line="240" w:lineRule="auto"/>
      </w:pPr>
      <w:r>
        <w:separator/>
      </w:r>
    </w:p>
  </w:footnote>
  <w:footnote w:type="continuationSeparator" w:id="0">
    <w:p w:rsidR="00590859" w:rsidRDefault="00590859" w:rsidP="0059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859" w:rsidRDefault="00590859">
    <w:pPr>
      <w:pStyle w:val="Header"/>
    </w:pPr>
    <w:r>
      <w:rPr>
        <w:rFonts w:ascii="Calibri" w:hAnsi="Calibri" w:cs="Arial"/>
        <w:noProof/>
        <w:color w:val="0070C0"/>
        <w:sz w:val="28"/>
        <w:szCs w:val="28"/>
        <w:lang w:eastAsia="en-GB"/>
      </w:rPr>
      <w:drawing>
        <wp:anchor distT="0" distB="0" distL="114300" distR="114300" simplePos="0" relativeHeight="251659264" behindDoc="0" locked="0" layoutInCell="1" allowOverlap="1" wp14:anchorId="51A8E0CA" wp14:editId="56C48CC8">
          <wp:simplePos x="0" y="0"/>
          <wp:positionH relativeFrom="margin">
            <wp:posOffset>5867400</wp:posOffset>
          </wp:positionH>
          <wp:positionV relativeFrom="paragraph">
            <wp:posOffset>-324485</wp:posOffset>
          </wp:positionV>
          <wp:extent cx="2428875" cy="653415"/>
          <wp:effectExtent l="0" t="0" r="9525" b="0"/>
          <wp:wrapSquare wrapText="bothSides"/>
          <wp:docPr id="6" name="Picture 6" descr="H:\wjps bann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jps banne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CB0">
      <w:rPr>
        <w:rFonts w:ascii="Calibri" w:hAnsi="Calibri" w:cs="Arial"/>
        <w:noProof/>
        <w:color w:val="0070C0"/>
        <w:sz w:val="28"/>
        <w:szCs w:val="28"/>
        <w:lang w:eastAsia="en-GB"/>
      </w:rPr>
      <w:t>Communication and Language</w:t>
    </w:r>
    <w:r w:rsidR="007E5F6D">
      <w:rPr>
        <w:rFonts w:ascii="Calibri" w:hAnsi="Calibri" w:cs="Arial"/>
        <w:noProof/>
        <w:color w:val="0070C0"/>
        <w:sz w:val="28"/>
        <w:szCs w:val="28"/>
        <w:lang w:eastAsia="en-GB"/>
      </w:rPr>
      <w:t xml:space="preserve"> Skills Progression</w:t>
    </w:r>
  </w:p>
  <w:p w:rsidR="00590859" w:rsidRDefault="005908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859"/>
    <w:rsid w:val="000F3DA6"/>
    <w:rsid w:val="003443F7"/>
    <w:rsid w:val="003B7551"/>
    <w:rsid w:val="004C1ECA"/>
    <w:rsid w:val="00590859"/>
    <w:rsid w:val="00602342"/>
    <w:rsid w:val="006F7BA1"/>
    <w:rsid w:val="007E5F6D"/>
    <w:rsid w:val="00810A19"/>
    <w:rsid w:val="008204B8"/>
    <w:rsid w:val="008C0CB0"/>
    <w:rsid w:val="00900B9A"/>
    <w:rsid w:val="00912AA9"/>
    <w:rsid w:val="00A2617E"/>
    <w:rsid w:val="00AC2BB1"/>
    <w:rsid w:val="00B27516"/>
    <w:rsid w:val="00B87D2A"/>
    <w:rsid w:val="00D452E4"/>
    <w:rsid w:val="00D75F3F"/>
    <w:rsid w:val="00F53103"/>
    <w:rsid w:val="00F73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754C28"/>
  <w15:chartTrackingRefBased/>
  <w15:docId w15:val="{52C21993-A13F-4080-9CB1-5BACFAF2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859"/>
  </w:style>
  <w:style w:type="paragraph" w:styleId="Footer">
    <w:name w:val="footer"/>
    <w:basedOn w:val="Normal"/>
    <w:link w:val="FooterChar"/>
    <w:uiPriority w:val="99"/>
    <w:unhideWhenUsed/>
    <w:rsid w:val="00590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859"/>
  </w:style>
  <w:style w:type="table" w:styleId="TableGrid">
    <w:name w:val="Table Grid"/>
    <w:basedOn w:val="TableNormal"/>
    <w:uiPriority w:val="39"/>
    <w:rsid w:val="00590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859"/>
    <w:pPr>
      <w:autoSpaceDE w:val="0"/>
      <w:autoSpaceDN w:val="0"/>
      <w:adjustRightInd w:val="0"/>
      <w:spacing w:after="0" w:line="240" w:lineRule="auto"/>
    </w:pPr>
    <w:rPr>
      <w:rFonts w:ascii="Roboto" w:eastAsiaTheme="minorEastAsia" w:hAnsi="Roboto" w:cs="Roboto"/>
      <w:color w:val="000000"/>
      <w:sz w:val="24"/>
      <w:szCs w:val="24"/>
    </w:rPr>
  </w:style>
  <w:style w:type="character" w:customStyle="1" w:styleId="A1">
    <w:name w:val="A1"/>
    <w:uiPriority w:val="99"/>
    <w:rsid w:val="00590859"/>
    <w:rPr>
      <w:rFonts w:cs="Roboto"/>
      <w:color w:val="000000"/>
      <w:sz w:val="18"/>
      <w:szCs w:val="18"/>
    </w:rPr>
  </w:style>
  <w:style w:type="character" w:customStyle="1" w:styleId="A3">
    <w:name w:val="A3"/>
    <w:uiPriority w:val="99"/>
    <w:rsid w:val="00590859"/>
    <w:rPr>
      <w:rFonts w:cs="Robot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Liz</dc:creator>
  <cp:keywords/>
  <dc:description/>
  <cp:lastModifiedBy>Thompson, Liz</cp:lastModifiedBy>
  <cp:revision>9</cp:revision>
  <dcterms:created xsi:type="dcterms:W3CDTF">2024-09-23T13:07:00Z</dcterms:created>
  <dcterms:modified xsi:type="dcterms:W3CDTF">2025-01-20T09:55:00Z</dcterms:modified>
</cp:coreProperties>
</file>